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813252572"/>
        <w:docPartObj>
          <w:docPartGallery w:val="Cover Pages"/>
          <w:docPartUnique/>
        </w:docPartObj>
      </w:sdtPr>
      <w:sdtContent>
        <w:p w:rsidR="00781704" w:rsidRPr="00E26657" w:rsidRDefault="00781704" w:rsidP="00781704">
          <w:pPr>
            <w:rPr>
              <w:color w:val="225EA3"/>
            </w:rPr>
          </w:pPr>
        </w:p>
        <w:p w:rsidR="00781704" w:rsidRPr="001D6C55" w:rsidRDefault="00781704" w:rsidP="00781704"/>
        <w:p w:rsidR="00781704" w:rsidRPr="001D6C55" w:rsidRDefault="00781704" w:rsidP="00781704">
          <w:pPr>
            <w:contextualSpacing/>
          </w:pPr>
        </w:p>
        <w:p w:rsidR="00781704" w:rsidRPr="00CD0BED" w:rsidRDefault="00781704" w:rsidP="00781704">
          <w:pPr>
            <w:contextualSpacing/>
            <w:rPr>
              <w:sz w:val="18"/>
              <w:szCs w:val="18"/>
            </w:rPr>
          </w:pPr>
          <w:r>
            <w:rPr>
              <w:sz w:val="18"/>
              <w:szCs w:val="18"/>
            </w:rPr>
            <w:t>FH/EDL. 9105</w:t>
          </w:r>
          <w:r>
            <w:rPr>
              <w:sz w:val="18"/>
              <w:szCs w:val="18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sdt>
          <w:sdtPr>
            <w:id w:val="292569962"/>
            <w:docPartObj>
              <w:docPartGallery w:val="Cover Pages"/>
              <w:docPartUnique/>
            </w:docPartObj>
          </w:sdtPr>
          <w:sdtContent>
            <w:p w:rsidR="00781704" w:rsidRDefault="00781704" w:rsidP="00781704">
              <w:pPr>
                <w:contextualSpacing/>
              </w:pPr>
              <w:r>
                <w:rPr>
                  <w:color w:val="225EA3"/>
                </w:rPr>
                <w:t xml:space="preserve"> </w:t>
              </w:r>
            </w:p>
            <w:p w:rsidR="00781704" w:rsidRPr="008E31E7" w:rsidRDefault="00781704" w:rsidP="00781704">
              <w:pPr>
                <w:contextualSpacing/>
                <w:rPr>
                  <w:u w:val="single"/>
                </w:rPr>
              </w:pPr>
            </w:p>
            <w:p w:rsidR="00781704" w:rsidRDefault="00781704" w:rsidP="00781704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 xml:space="preserve">AUTORISATION </w:t>
              </w: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 xml:space="preserve"> OCCUPATION</w:t>
              </w:r>
            </w:p>
            <w:p w:rsidR="00781704" w:rsidRDefault="00781704" w:rsidP="00781704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>DOMAINE PUBLIC</w:t>
              </w:r>
            </w:p>
            <w:p w:rsidR="00781704" w:rsidRDefault="00781704" w:rsidP="00781704">
              <w:pPr>
                <w:spacing w:after="0" w:line="240" w:lineRule="auto"/>
                <w:ind w:right="-431"/>
                <w:contextualSpacing/>
                <w:jc w:val="center"/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</w:pPr>
              <w:r>
                <w:rPr>
                  <w:noProof/>
                  <w:lang w:eastAsia="fr-FR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1" allowOverlap="1" wp14:anchorId="2897C9F3" wp14:editId="622B490A">
                        <wp:simplePos x="0" y="0"/>
                        <wp:positionH relativeFrom="column">
                          <wp:posOffset>1614170</wp:posOffset>
                        </wp:positionH>
                        <wp:positionV relativeFrom="paragraph">
                          <wp:posOffset>273050</wp:posOffset>
                        </wp:positionV>
                        <wp:extent cx="2750820" cy="0"/>
                        <wp:effectExtent l="0" t="0" r="11430" b="19050"/>
                        <wp:wrapNone/>
                        <wp:docPr id="5" name="Connecteur droit 5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27508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4F81BD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line id="Connecteur droit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7.1pt,21.5pt" to="343.7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" strokecolor="#4f81bd" strokeweight="2pt"/>
                    </w:pict>
                  </mc:Fallback>
                </mc:AlternateContent>
              </w:r>
              <w:r>
                <w:rPr>
                  <w:rFonts w:ascii="Arial Black" w:hAnsi="Arial Black" w:cs="Arial"/>
                  <w:b/>
                  <w:bCs/>
                  <w:color w:val="4F81BD" w:themeColor="accent1"/>
                  <w:sz w:val="44"/>
                  <w:szCs w:val="44"/>
                </w:rPr>
                <w:t xml:space="preserve"> </w:t>
              </w:r>
            </w:p>
            <w:p w:rsidR="00781704" w:rsidRPr="0044777D" w:rsidRDefault="00781704" w:rsidP="00781704">
              <w:pPr>
                <w:contextualSpacing/>
                <w:rPr>
                  <w:b/>
                  <w:bCs/>
                  <w:u w:val="single"/>
                </w:rPr>
              </w:pPr>
              <w:r>
                <w:rPr>
                  <w:rStyle w:val="lev"/>
                  <w:u w:val="single"/>
                </w:rPr>
                <w:t xml:space="preserve"> </w:t>
              </w:r>
            </w:p>
          </w:sdtContent>
        </w:sdt>
        <w:p w:rsidR="00781704" w:rsidRPr="008E31E7" w:rsidRDefault="00781704" w:rsidP="00781704">
          <w:pPr>
            <w:jc w:val="both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</w:rPr>
            <w:t xml:space="preserve"> </w:t>
          </w:r>
        </w:p>
        <w:p w:rsidR="00781704" w:rsidRDefault="00781704" w:rsidP="00781704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 w:rsidRPr="00781704">
            <w:rPr>
              <w:rFonts w:ascii="Arial" w:eastAsia="Times New Roman" w:hAnsi="Arial" w:cs="Arial"/>
              <w:lang w:eastAsia="fr-FR"/>
            </w:rPr>
            <w:t xml:space="preserve">Madame Maryvonne LE GOFF </w:t>
          </w:r>
          <w:r>
            <w:rPr>
              <w:rFonts w:ascii="Arial" w:eastAsia="Times New Roman" w:hAnsi="Arial" w:cs="Arial"/>
              <w:lang w:eastAsia="fr-FR"/>
            </w:rPr>
            <w:t xml:space="preserve">est autorisée à occuper le domaine public communal à l’occasion du carnaval vénitien, pour la vente de confiseries, </w:t>
          </w:r>
          <w:r>
            <w:rPr>
              <w:rFonts w:ascii="Arial" w:eastAsia="Times New Roman" w:hAnsi="Arial" w:cs="Arial"/>
              <w:lang w:eastAsia="fr-FR"/>
            </w:rPr>
            <w:t xml:space="preserve">samedi 27 avril de 10h à 19h </w:t>
          </w:r>
          <w:r>
            <w:rPr>
              <w:rFonts w:ascii="Arial" w:eastAsia="Times New Roman" w:hAnsi="Arial" w:cs="Arial"/>
              <w:lang w:eastAsia="fr-FR"/>
            </w:rPr>
            <w:t xml:space="preserve">dans </w:t>
          </w:r>
          <w:r w:rsidRPr="00781704">
            <w:rPr>
              <w:rFonts w:ascii="Arial" w:eastAsia="Times New Roman" w:hAnsi="Arial" w:cs="Arial"/>
              <w:b/>
              <w:u w:val="single"/>
              <w:lang w:eastAsia="fr-FR"/>
            </w:rPr>
            <w:t>le parc de Verdure</w:t>
          </w:r>
          <w:r>
            <w:rPr>
              <w:rFonts w:ascii="Arial" w:eastAsia="Times New Roman" w:hAnsi="Arial" w:cs="Arial"/>
              <w:lang w:eastAsia="fr-FR"/>
            </w:rPr>
            <w:t xml:space="preserve">, près de la fontaine marocaine, ainsi que le dimanche 28 avril de 10h à 19h, au </w:t>
          </w:r>
          <w:r w:rsidRPr="00781704">
            <w:rPr>
              <w:rFonts w:ascii="Arial" w:eastAsia="Times New Roman" w:hAnsi="Arial" w:cs="Arial"/>
              <w:b/>
              <w:u w:val="single"/>
              <w:lang w:eastAsia="fr-FR"/>
            </w:rPr>
            <w:t xml:space="preserve">Grand Port </w:t>
          </w:r>
          <w:r>
            <w:rPr>
              <w:rFonts w:ascii="Arial" w:eastAsia="Times New Roman" w:hAnsi="Arial" w:cs="Arial"/>
              <w:lang w:eastAsia="fr-FR"/>
            </w:rPr>
            <w:t>sur le trottoir à proximité de l’arrêt de bus.</w:t>
          </w:r>
          <w:r>
            <w:rPr>
              <w:rFonts w:ascii="Arial" w:eastAsia="Times New Roman" w:hAnsi="Arial" w:cs="Arial"/>
              <w:lang w:eastAsia="fr-FR"/>
            </w:rPr>
            <w:t xml:space="preserve"> </w:t>
          </w:r>
          <w:bookmarkStart w:id="0" w:name="_GoBack"/>
          <w:bookmarkEnd w:id="0"/>
        </w:p>
        <w:p w:rsidR="00781704" w:rsidRDefault="00781704" w:rsidP="00781704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 xml:space="preserve"> </w:t>
          </w:r>
        </w:p>
        <w:p w:rsidR="00781704" w:rsidRDefault="00781704" w:rsidP="00781704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  <w:r>
            <w:rPr>
              <w:rFonts w:ascii="Arial" w:eastAsia="Times New Roman" w:hAnsi="Arial" w:cs="Arial"/>
              <w:lang w:eastAsia="fr-FR"/>
            </w:rPr>
            <w:t xml:space="preserve"> </w:t>
          </w:r>
        </w:p>
        <w:p w:rsidR="00781704" w:rsidRDefault="00781704" w:rsidP="00781704">
          <w:pPr>
            <w:spacing w:after="0" w:line="240" w:lineRule="auto"/>
            <w:ind w:left="708"/>
            <w:jc w:val="both"/>
            <w:rPr>
              <w:rFonts w:ascii="Arial" w:eastAsia="Times New Roman" w:hAnsi="Arial" w:cs="Arial"/>
              <w:lang w:eastAsia="fr-FR"/>
            </w:rPr>
          </w:pPr>
        </w:p>
        <w:p w:rsidR="00781704" w:rsidRDefault="00781704" w:rsidP="00781704">
          <w:pPr>
            <w:spacing w:after="0" w:line="240" w:lineRule="auto"/>
            <w:ind w:firstLine="708"/>
            <w:rPr>
              <w:rFonts w:ascii="Arial" w:eastAsia="Times New Roman" w:hAnsi="Arial" w:cs="Arial"/>
              <w:lang w:eastAsia="fr-FR"/>
            </w:rPr>
          </w:pPr>
        </w:p>
        <w:p w:rsidR="00781704" w:rsidRPr="00125234" w:rsidRDefault="00781704" w:rsidP="00781704">
          <w:pPr>
            <w:spacing w:after="0" w:line="240" w:lineRule="auto"/>
            <w:ind w:firstLine="708"/>
            <w:rPr>
              <w:rFonts w:ascii="Arial" w:eastAsia="Times New Roman" w:hAnsi="Arial" w:cs="Arial"/>
              <w:lang w:eastAsia="fr-FR"/>
            </w:rPr>
          </w:pPr>
          <w:r w:rsidRPr="00125234">
            <w:rPr>
              <w:rFonts w:ascii="Arial" w:eastAsia="Times New Roman" w:hAnsi="Arial" w:cs="Arial"/>
              <w:lang w:eastAsia="fr-FR"/>
            </w:rPr>
            <w:t>Merci de votre vigilance et de votre comp</w:t>
          </w:r>
          <w:r>
            <w:rPr>
              <w:rFonts w:ascii="Arial" w:eastAsia="Times New Roman" w:hAnsi="Arial" w:cs="Arial"/>
              <w:lang w:eastAsia="fr-FR"/>
            </w:rPr>
            <w:t xml:space="preserve">réhension.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p w:rsidR="00781704" w:rsidRPr="008E31E7" w:rsidRDefault="00781704" w:rsidP="00781704">
          <w:pPr>
            <w:jc w:val="both"/>
            <w:rPr>
              <w:rFonts w:ascii="Arial" w:hAnsi="Arial" w:cs="Arial"/>
            </w:rPr>
          </w:pPr>
        </w:p>
        <w:p w:rsidR="00781704" w:rsidRDefault="00781704" w:rsidP="00781704">
          <w:pPr>
            <w:jc w:val="both"/>
            <w:rPr>
              <w:rFonts w:ascii="Century Gothic" w:hAnsi="Century Gothic" w:cs="Century Gothic"/>
            </w:rPr>
          </w:pPr>
          <w:r>
            <w:rPr>
              <w:rFonts w:ascii="Century Gothic" w:hAnsi="Century Gothic" w:cs="Century Gothic"/>
            </w:rPr>
            <w:t xml:space="preserve">                                 </w:t>
          </w:r>
        </w:p>
        <w:p w:rsidR="00781704" w:rsidRDefault="00781704" w:rsidP="00781704">
          <w:pPr>
            <w:jc w:val="both"/>
            <w:rPr>
              <w:rFonts w:ascii="Century Gothic" w:hAnsi="Century Gothic" w:cs="Century Gothic"/>
            </w:rPr>
          </w:pPr>
        </w:p>
        <w:p w:rsidR="00781704" w:rsidRPr="007F63EB" w:rsidRDefault="00781704" w:rsidP="00781704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781704" w:rsidRDefault="00781704" w:rsidP="00781704">
          <w:pPr>
            <w:contextualSpacing/>
          </w:pPr>
        </w:p>
      </w:sdtContent>
    </w:sdt>
    <w:p w:rsidR="00781704" w:rsidRDefault="00781704" w:rsidP="00781704"/>
    <w:p w:rsidR="00781704" w:rsidRDefault="00781704" w:rsidP="00781704"/>
    <w:p w:rsidR="00781704" w:rsidRDefault="00781704" w:rsidP="00781704"/>
    <w:p w:rsidR="00781704" w:rsidRDefault="00781704" w:rsidP="00781704"/>
    <w:p w:rsidR="00781704" w:rsidRDefault="00781704" w:rsidP="00781704"/>
    <w:p w:rsidR="00781704" w:rsidRDefault="00781704" w:rsidP="00781704"/>
    <w:p w:rsidR="00781704" w:rsidRDefault="00781704" w:rsidP="00781704"/>
    <w:p w:rsidR="00F677B5" w:rsidRDefault="00F677B5"/>
    <w:sectPr w:rsidR="00F677B5" w:rsidSect="005B4A3B">
      <w:headerReference w:type="default" r:id="rId5"/>
      <w:headerReference w:type="first" r:id="rId6"/>
      <w:pgSz w:w="11900" w:h="16840"/>
      <w:pgMar w:top="1418" w:right="1417" w:bottom="1418" w:left="1418" w:header="567" w:footer="567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760" w:rsidRDefault="00781704" w:rsidP="004806BD">
    <w:pPr>
      <w:pStyle w:val="En-tte"/>
      <w:tabs>
        <w:tab w:val="clear" w:pos="4536"/>
        <w:tab w:val="clear" w:pos="9072"/>
        <w:tab w:val="left" w:pos="848"/>
      </w:tabs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A670883" wp14:editId="7DBE4F3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737" cy="10689126"/>
          <wp:effectExtent l="0" t="0" r="12700" b="444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-tete Wor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737" cy="106891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FC2" w:rsidRDefault="00781704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08F1278E" wp14:editId="268725C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0692384"/>
          <wp:effectExtent l="0" t="0" r="1016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-Page-de-garde-Aix-2018-Charte_150dpi_CommuniqueOK-Image-varia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9238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704"/>
    <w:rsid w:val="00781704"/>
    <w:rsid w:val="00F6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704"/>
    <w:rPr>
      <w:rFonts w:eastAsiaTheme="minorEastAsia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817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1704"/>
    <w:rPr>
      <w:rFonts w:eastAsiaTheme="minorEastAsia"/>
      <w:lang w:eastAsia="ja-JP"/>
    </w:rPr>
  </w:style>
  <w:style w:type="character" w:styleId="lev">
    <w:name w:val="Strong"/>
    <w:basedOn w:val="Policepardfaut"/>
    <w:uiPriority w:val="22"/>
    <w:qFormat/>
    <w:rsid w:val="0078170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704"/>
    <w:rPr>
      <w:rFonts w:eastAsiaTheme="minorEastAsia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817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1704"/>
    <w:rPr>
      <w:rFonts w:eastAsiaTheme="minorEastAsia"/>
      <w:lang w:eastAsia="ja-JP"/>
    </w:rPr>
  </w:style>
  <w:style w:type="character" w:styleId="lev">
    <w:name w:val="Strong"/>
    <w:basedOn w:val="Policepardfaut"/>
    <w:uiPriority w:val="22"/>
    <w:qFormat/>
    <w:rsid w:val="007817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Du Lac Élodie</cp:lastModifiedBy>
  <cp:revision>1</cp:revision>
  <dcterms:created xsi:type="dcterms:W3CDTF">2019-03-13T09:39:00Z</dcterms:created>
  <dcterms:modified xsi:type="dcterms:W3CDTF">2019-03-13T09:50:00Z</dcterms:modified>
</cp:coreProperties>
</file>